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BC3E" w14:textId="77777777" w:rsidR="003A2B49" w:rsidRDefault="003A2B49" w:rsidP="003A2B49">
      <w:pPr>
        <w:contextualSpacing/>
        <w:mirrorIndents/>
        <w:rPr>
          <w:rFonts w:ascii="Times New Roman" w:hAnsi="Times New Roman" w:cs="Times New Roman"/>
          <w:b/>
          <w:bCs/>
        </w:rPr>
      </w:pPr>
    </w:p>
    <w:p w14:paraId="0EB9C145" w14:textId="339D9923" w:rsidR="00F32AEC" w:rsidRPr="009B1B95" w:rsidRDefault="003A2B49" w:rsidP="003A2B49">
      <w:pPr>
        <w:contextualSpacing/>
        <w:mirrorIndents/>
        <w:jc w:val="center"/>
        <w:rPr>
          <w:rFonts w:ascii="AkayaKanadaka" w:hAnsi="AkayaKanadaka" w:cs="AkayaKanadaka"/>
          <w:b/>
          <w:bCs/>
          <w:sz w:val="36"/>
          <w:szCs w:val="36"/>
        </w:rPr>
      </w:pPr>
      <w:r w:rsidRPr="009B1B95">
        <w:rPr>
          <w:rFonts w:ascii="AkayaKanadaka" w:hAnsi="AkayaKanadaka" w:cs="AkayaKanadaka"/>
          <w:b/>
          <w:bCs/>
          <w:sz w:val="36"/>
          <w:szCs w:val="36"/>
        </w:rPr>
        <w:t>Curricolo Orientamento</w:t>
      </w:r>
    </w:p>
    <w:p w14:paraId="365E30AC" w14:textId="3921AA5C" w:rsidR="00660442" w:rsidRPr="009B1B95" w:rsidRDefault="00B1507D" w:rsidP="00C67555">
      <w:pPr>
        <w:contextualSpacing/>
        <w:mirrorIndents/>
        <w:jc w:val="center"/>
        <w:rPr>
          <w:rFonts w:ascii="AkayaKanadaka" w:hAnsi="AkayaKanadaka" w:cs="AkayaKanadaka"/>
          <w:b/>
          <w:bCs/>
          <w:sz w:val="36"/>
          <w:szCs w:val="36"/>
        </w:rPr>
      </w:pPr>
      <w:r w:rsidRPr="009B1B95">
        <w:rPr>
          <w:rFonts w:ascii="AkayaKanadaka" w:hAnsi="AkayaKanadaka" w:cs="AkayaKanadaka"/>
          <w:b/>
          <w:bCs/>
          <w:sz w:val="36"/>
          <w:szCs w:val="36"/>
        </w:rPr>
        <w:t>2023-2024</w:t>
      </w:r>
    </w:p>
    <w:p w14:paraId="21605D26" w14:textId="77777777" w:rsidR="00C67555" w:rsidRPr="00D07B0E" w:rsidRDefault="00C67555" w:rsidP="00660442">
      <w:pPr>
        <w:contextualSpacing/>
        <w:mirrorIndents/>
        <w:jc w:val="both"/>
        <w:rPr>
          <w:rFonts w:cstheme="minorHAnsi"/>
          <w:b/>
          <w:bCs/>
          <w:sz w:val="22"/>
          <w:szCs w:val="22"/>
        </w:rPr>
      </w:pPr>
    </w:p>
    <w:p w14:paraId="3C7BDAE1" w14:textId="297DB46A" w:rsidR="00660442" w:rsidRPr="00D07B0E" w:rsidRDefault="007C3D38" w:rsidP="00660442">
      <w:pPr>
        <w:contextualSpacing/>
        <w:mirrorIndents/>
        <w:jc w:val="both"/>
        <w:rPr>
          <w:rFonts w:cstheme="minorHAnsi"/>
          <w:sz w:val="22"/>
          <w:szCs w:val="22"/>
        </w:rPr>
      </w:pPr>
      <w:r w:rsidRPr="00D07B0E">
        <w:rPr>
          <w:rFonts w:cstheme="minorHAnsi"/>
          <w:sz w:val="22"/>
          <w:szCs w:val="22"/>
        </w:rPr>
        <w:t>“</w:t>
      </w:r>
      <w:r w:rsidRPr="00D07B0E">
        <w:rPr>
          <w:rFonts w:cstheme="minorHAnsi"/>
          <w:i/>
          <w:iCs/>
          <w:sz w:val="22"/>
          <w:szCs w:val="22"/>
        </w:rPr>
        <w:t>L’orientamento è un processo volto a facilitare la conoscenza di sé, del contesto formativo, occupazionale, social</w:t>
      </w:r>
      <w:r w:rsidR="007E2648" w:rsidRPr="00D07B0E">
        <w:rPr>
          <w:rFonts w:cstheme="minorHAnsi"/>
          <w:i/>
          <w:iCs/>
          <w:sz w:val="22"/>
          <w:szCs w:val="22"/>
        </w:rPr>
        <w:t>e, culturale ed economico</w:t>
      </w:r>
      <w:r w:rsidRPr="00D07B0E">
        <w:rPr>
          <w:rFonts w:cstheme="minorHAnsi"/>
          <w:i/>
          <w:iCs/>
          <w:sz w:val="22"/>
          <w:szCs w:val="22"/>
        </w:rPr>
        <w:t xml:space="preserve"> di riferimento</w:t>
      </w:r>
      <w:r w:rsidR="007E2648" w:rsidRPr="00D07B0E">
        <w:rPr>
          <w:rFonts w:cstheme="minorHAnsi"/>
          <w:i/>
          <w:iCs/>
          <w:sz w:val="22"/>
          <w:szCs w:val="22"/>
        </w:rPr>
        <w:t xml:space="preserve">, delle strategie messe in atto per relazionarsi ed interagire in tali realtà </w:t>
      </w:r>
      <w:r w:rsidRPr="00D07B0E">
        <w:rPr>
          <w:rFonts w:cstheme="minorHAnsi"/>
          <w:i/>
          <w:iCs/>
          <w:sz w:val="22"/>
          <w:szCs w:val="22"/>
        </w:rPr>
        <w:t>al fine di favorire</w:t>
      </w:r>
      <w:r w:rsidR="007E2648" w:rsidRPr="00D07B0E">
        <w:rPr>
          <w:rFonts w:cstheme="minorHAnsi"/>
          <w:i/>
          <w:iCs/>
          <w:sz w:val="22"/>
          <w:szCs w:val="22"/>
        </w:rPr>
        <w:t xml:space="preserve"> la maturazione e</w:t>
      </w:r>
      <w:r w:rsidRPr="00D07B0E">
        <w:rPr>
          <w:rFonts w:cstheme="minorHAnsi"/>
          <w:i/>
          <w:iCs/>
          <w:sz w:val="22"/>
          <w:szCs w:val="22"/>
        </w:rPr>
        <w:t xml:space="preserve"> lo sviluppo delle competenze necessarie per elaborare… un progetto di vita…</w:t>
      </w:r>
      <w:r w:rsidRPr="00D07B0E">
        <w:rPr>
          <w:rFonts w:cstheme="minorHAnsi"/>
          <w:sz w:val="22"/>
          <w:szCs w:val="22"/>
        </w:rPr>
        <w:t>” (Conferenza Stato- Regioni, 2012).</w:t>
      </w:r>
    </w:p>
    <w:p w14:paraId="0E8AEF59" w14:textId="3D67B604" w:rsidR="00EE487E" w:rsidRPr="00D07B0E" w:rsidRDefault="007C3D38" w:rsidP="00660442">
      <w:pPr>
        <w:contextualSpacing/>
        <w:mirrorIndents/>
        <w:jc w:val="both"/>
        <w:rPr>
          <w:rFonts w:cstheme="minorHAnsi"/>
          <w:sz w:val="22"/>
          <w:szCs w:val="22"/>
        </w:rPr>
      </w:pPr>
      <w:r w:rsidRPr="00D07B0E">
        <w:rPr>
          <w:rFonts w:cstheme="minorHAnsi"/>
          <w:sz w:val="22"/>
          <w:szCs w:val="22"/>
        </w:rPr>
        <w:t xml:space="preserve">Sempre in questa direzione si </w:t>
      </w:r>
      <w:r w:rsidR="00A22C56" w:rsidRPr="00D07B0E">
        <w:rPr>
          <w:rFonts w:cstheme="minorHAnsi"/>
          <w:sz w:val="22"/>
          <w:szCs w:val="22"/>
        </w:rPr>
        <w:t>muovono le “Linee guida per l’orientamento” emanate con Decreto del MIM n.328 del 22 dicembre 2022, a completamento di una filiera di dispositivi normativi e formativi precedenti.</w:t>
      </w:r>
    </w:p>
    <w:p w14:paraId="375FB680" w14:textId="6A8ADEFA" w:rsidR="00723FDC" w:rsidRPr="00D07B0E" w:rsidRDefault="0044189A" w:rsidP="00660442">
      <w:pPr>
        <w:contextualSpacing/>
        <w:mirrorIndents/>
        <w:jc w:val="both"/>
        <w:rPr>
          <w:rFonts w:cstheme="minorHAnsi"/>
          <w:sz w:val="22"/>
          <w:szCs w:val="22"/>
        </w:rPr>
      </w:pPr>
      <w:r w:rsidRPr="00D07B0E">
        <w:rPr>
          <w:rFonts w:cstheme="minorHAnsi"/>
          <w:sz w:val="22"/>
          <w:szCs w:val="22"/>
        </w:rPr>
        <w:t>In tale ottica la costruzione di un curricolo di orientamento costituisce</w:t>
      </w:r>
      <w:r w:rsidR="009074D1" w:rsidRPr="00D07B0E">
        <w:rPr>
          <w:rFonts w:cstheme="minorHAnsi"/>
          <w:sz w:val="22"/>
          <w:szCs w:val="22"/>
        </w:rPr>
        <w:t xml:space="preserve"> una guida strutturata e coordinata di interventi che, a partire dal riconoscimento dei talenti, delle attitudini, delle inclinazioni e del merito degli studenti, li accompagni in maniera sempre più personalizzata</w:t>
      </w:r>
      <w:r w:rsidR="002C3565" w:rsidRPr="00D07B0E">
        <w:rPr>
          <w:rFonts w:cstheme="minorHAnsi"/>
          <w:sz w:val="22"/>
          <w:szCs w:val="22"/>
        </w:rPr>
        <w:t xml:space="preserve"> a elaborare in modo critico e proattivo un loro progetto di vita, anche professionale.</w:t>
      </w:r>
      <w:r w:rsidR="009074D1" w:rsidRPr="00D07B0E">
        <w:rPr>
          <w:rFonts w:cstheme="minorHAnsi"/>
          <w:sz w:val="22"/>
          <w:szCs w:val="22"/>
        </w:rPr>
        <w:t xml:space="preserve"> </w:t>
      </w:r>
    </w:p>
    <w:p w14:paraId="74DE9265" w14:textId="77777777" w:rsidR="00C67555" w:rsidRPr="00D07B0E" w:rsidRDefault="00C67555" w:rsidP="00660442">
      <w:pPr>
        <w:contextualSpacing/>
        <w:mirrorIndents/>
        <w:jc w:val="both"/>
        <w:rPr>
          <w:rFonts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14"/>
        <w:gridCol w:w="2812"/>
        <w:gridCol w:w="1232"/>
        <w:gridCol w:w="3464"/>
      </w:tblGrid>
      <w:tr w:rsidR="00D07B0E" w:rsidRPr="00D07B0E" w14:paraId="50D3B9BE" w14:textId="77777777" w:rsidTr="00D07B0E">
        <w:tc>
          <w:tcPr>
            <w:tcW w:w="0" w:type="auto"/>
          </w:tcPr>
          <w:p w14:paraId="7447991D" w14:textId="0E7D3E3C" w:rsidR="0067189D" w:rsidRPr="00D07B0E" w:rsidRDefault="0067189D" w:rsidP="00660442">
            <w:pPr>
              <w:contextualSpacing/>
              <w:mirrorIndents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12" w:type="dxa"/>
          </w:tcPr>
          <w:p w14:paraId="79C9E185" w14:textId="59C5653E" w:rsidR="0067189D" w:rsidRPr="00D07B0E" w:rsidRDefault="0067189D" w:rsidP="00660442">
            <w:pPr>
              <w:contextualSpacing/>
              <w:mirrorIndent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>Obiettivi</w:t>
            </w:r>
          </w:p>
        </w:tc>
        <w:tc>
          <w:tcPr>
            <w:tcW w:w="1067" w:type="dxa"/>
          </w:tcPr>
          <w:p w14:paraId="50DDB269" w14:textId="3765F20F" w:rsidR="0067189D" w:rsidRPr="00D07B0E" w:rsidRDefault="0067189D" w:rsidP="00660442">
            <w:pPr>
              <w:contextualSpacing/>
              <w:mirrorIndent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>Ore certificabili</w:t>
            </w:r>
          </w:p>
        </w:tc>
        <w:tc>
          <w:tcPr>
            <w:tcW w:w="0" w:type="auto"/>
          </w:tcPr>
          <w:p w14:paraId="6412532A" w14:textId="1A190F3F" w:rsidR="0067189D" w:rsidRPr="00D07B0E" w:rsidRDefault="0067189D" w:rsidP="00660442">
            <w:pPr>
              <w:contextualSpacing/>
              <w:mirrorIndent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>Attività</w:t>
            </w:r>
          </w:p>
        </w:tc>
      </w:tr>
      <w:tr w:rsidR="00D07B0E" w:rsidRPr="00D07B0E" w14:paraId="63036E27" w14:textId="77777777" w:rsidTr="00D07B0E">
        <w:tc>
          <w:tcPr>
            <w:tcW w:w="0" w:type="auto"/>
          </w:tcPr>
          <w:p w14:paraId="65898F6E" w14:textId="67CBF1DB" w:rsidR="0067189D" w:rsidRPr="00D07B0E" w:rsidRDefault="0067189D" w:rsidP="00660442">
            <w:pPr>
              <w:contextualSpacing/>
              <w:mirrorIndent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>Informazione orientativa</w:t>
            </w:r>
          </w:p>
        </w:tc>
        <w:tc>
          <w:tcPr>
            <w:tcW w:w="2812" w:type="dxa"/>
          </w:tcPr>
          <w:p w14:paraId="69504DE5" w14:textId="01B1E65A" w:rsidR="0067189D" w:rsidRPr="00D07B0E" w:rsidRDefault="0067189D" w:rsidP="00660442">
            <w:pPr>
              <w:contextualSpacing/>
              <w:mirrorIndents/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sz w:val="22"/>
                <w:szCs w:val="22"/>
              </w:rPr>
              <w:t>Esercizio di capacità di autovalutazione e di verifica delle proprie conoscenze.</w:t>
            </w:r>
          </w:p>
        </w:tc>
        <w:tc>
          <w:tcPr>
            <w:tcW w:w="1067" w:type="dxa"/>
          </w:tcPr>
          <w:p w14:paraId="48C9295A" w14:textId="14C09422" w:rsidR="0067189D" w:rsidRPr="00D07B0E" w:rsidRDefault="0067189D" w:rsidP="00D27603">
            <w:pPr>
              <w:contextualSpacing/>
              <w:mirrorIndents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>5 ore</w:t>
            </w:r>
          </w:p>
        </w:tc>
        <w:tc>
          <w:tcPr>
            <w:tcW w:w="0" w:type="auto"/>
          </w:tcPr>
          <w:p w14:paraId="0FA8B838" w14:textId="4810DD03" w:rsidR="0067189D" w:rsidRPr="00D07B0E" w:rsidRDefault="0067189D" w:rsidP="00D07B0E">
            <w:pPr>
              <w:pStyle w:val="Paragrafoelenco"/>
              <w:numPr>
                <w:ilvl w:val="0"/>
                <w:numId w:val="6"/>
              </w:numPr>
              <w:mirrorIndent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sz w:val="22"/>
                <w:szCs w:val="22"/>
              </w:rPr>
              <w:t>Presentazione delle nuove “Linee guida per l’orientamento” e del Curricolo del Liceo</w:t>
            </w:r>
            <w:r w:rsidR="00D07B0E" w:rsidRPr="00D07B0E">
              <w:rPr>
                <w:rFonts w:cstheme="minorHAnsi"/>
                <w:sz w:val="22"/>
                <w:szCs w:val="22"/>
              </w:rPr>
              <w:t xml:space="preserve"> </w:t>
            </w:r>
            <w:r w:rsidRPr="00D07B0E">
              <w:rPr>
                <w:rFonts w:cstheme="minorHAnsi"/>
                <w:b/>
                <w:bCs/>
                <w:sz w:val="22"/>
                <w:szCs w:val="22"/>
              </w:rPr>
              <w:t>– attività predisposta dal docente orientatore nel mese di novembre</w:t>
            </w:r>
            <w:r w:rsidR="00D07B0E" w:rsidRPr="00D07B0E">
              <w:rPr>
                <w:rFonts w:cstheme="minorHAnsi"/>
                <w:b/>
                <w:bCs/>
                <w:sz w:val="22"/>
                <w:szCs w:val="22"/>
              </w:rPr>
              <w:t xml:space="preserve"> (2 ore)</w:t>
            </w:r>
          </w:p>
          <w:p w14:paraId="0F986C1B" w14:textId="3516D5B2" w:rsidR="0067189D" w:rsidRPr="00D07B0E" w:rsidRDefault="0067189D" w:rsidP="00D07B0E">
            <w:pPr>
              <w:pStyle w:val="Paragrafoelenco"/>
              <w:numPr>
                <w:ilvl w:val="0"/>
                <w:numId w:val="6"/>
              </w:numPr>
              <w:mirrorIndents/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sz w:val="22"/>
                <w:szCs w:val="22"/>
              </w:rPr>
              <w:t>Somministrazione</w:t>
            </w:r>
            <w:r w:rsidR="00D07B0E">
              <w:rPr>
                <w:rFonts w:cstheme="minorHAnsi"/>
                <w:sz w:val="22"/>
                <w:szCs w:val="22"/>
              </w:rPr>
              <w:t xml:space="preserve"> </w:t>
            </w:r>
            <w:r w:rsidRPr="00D07B0E">
              <w:rPr>
                <w:rFonts w:cstheme="minorHAnsi"/>
                <w:sz w:val="22"/>
                <w:szCs w:val="22"/>
              </w:rPr>
              <w:t xml:space="preserve">di questionari di autovalutazione </w:t>
            </w:r>
            <w:r w:rsidRPr="00D07B0E">
              <w:rPr>
                <w:rFonts w:cstheme="minorHAnsi"/>
                <w:b/>
                <w:bCs/>
                <w:sz w:val="22"/>
                <w:szCs w:val="22"/>
              </w:rPr>
              <w:t>-</w:t>
            </w:r>
            <w:r w:rsidR="00D07B0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D07B0E">
              <w:rPr>
                <w:rFonts w:cstheme="minorHAnsi"/>
                <w:b/>
                <w:bCs/>
                <w:sz w:val="22"/>
                <w:szCs w:val="22"/>
              </w:rPr>
              <w:t>attività predisposta dai docenti tutors nei mesi di dicembre, febbraio, aprile</w:t>
            </w:r>
            <w:r w:rsidR="00D07B0E" w:rsidRPr="00D07B0E">
              <w:rPr>
                <w:rFonts w:cstheme="minorHAnsi"/>
                <w:b/>
                <w:bCs/>
                <w:sz w:val="22"/>
                <w:szCs w:val="22"/>
              </w:rPr>
              <w:t xml:space="preserve"> (3 ore).</w:t>
            </w:r>
          </w:p>
          <w:p w14:paraId="68442F65" w14:textId="5D598D74" w:rsidR="0067189D" w:rsidRPr="00D07B0E" w:rsidRDefault="0067189D" w:rsidP="00D07B0E">
            <w:pPr>
              <w:contextualSpacing/>
              <w:mirrorIndents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07B0E" w:rsidRPr="00D07B0E" w14:paraId="720A4235" w14:textId="77777777" w:rsidTr="00D07B0E">
        <w:tc>
          <w:tcPr>
            <w:tcW w:w="0" w:type="auto"/>
          </w:tcPr>
          <w:p w14:paraId="15A5AC6E" w14:textId="01C66C89" w:rsidR="0067189D" w:rsidRPr="00D07B0E" w:rsidRDefault="0067189D" w:rsidP="00660442">
            <w:pPr>
              <w:contextualSpacing/>
              <w:mirrorIndent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>Consulenza orientativa</w:t>
            </w:r>
            <w:r w:rsidR="00D07B0E">
              <w:rPr>
                <w:rFonts w:cstheme="minorHAnsi"/>
                <w:b/>
                <w:bCs/>
                <w:sz w:val="22"/>
                <w:szCs w:val="22"/>
              </w:rPr>
              <w:t xml:space="preserve"> - </w:t>
            </w:r>
            <w:r w:rsidRPr="00D07B0E">
              <w:rPr>
                <w:rFonts w:cstheme="minorHAnsi"/>
                <w:b/>
                <w:bCs/>
                <w:sz w:val="22"/>
                <w:szCs w:val="22"/>
              </w:rPr>
              <w:t>Accompagnamento</w:t>
            </w:r>
          </w:p>
        </w:tc>
        <w:tc>
          <w:tcPr>
            <w:tcW w:w="2812" w:type="dxa"/>
          </w:tcPr>
          <w:p w14:paraId="183143D4" w14:textId="7035CFAE" w:rsidR="0067189D" w:rsidRPr="00D07B0E" w:rsidRDefault="0067189D" w:rsidP="00660442">
            <w:pPr>
              <w:contextualSpacing/>
              <w:mirrorIndents/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sz w:val="22"/>
                <w:szCs w:val="22"/>
              </w:rPr>
              <w:t>Conoscenza del contesto della formazione superiore e del suo valore in una società della conoscenza.</w:t>
            </w:r>
          </w:p>
          <w:p w14:paraId="0FD4BEC5" w14:textId="3503DCAE" w:rsidR="0067189D" w:rsidRPr="00D07B0E" w:rsidRDefault="0067189D" w:rsidP="00660442">
            <w:pPr>
              <w:contextualSpacing/>
              <w:mirrorIndents/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sz w:val="22"/>
                <w:szCs w:val="22"/>
              </w:rPr>
              <w:t xml:space="preserve">Conoscenza dei settori del lavoro, degli sbocchi occupazionali possibili nonché dei lavori futuri </w:t>
            </w:r>
            <w:r w:rsidRPr="00D07B0E">
              <w:rPr>
                <w:rFonts w:cstheme="minorHAnsi"/>
                <w:sz w:val="22"/>
                <w:szCs w:val="22"/>
              </w:rPr>
              <w:lastRenderedPageBreak/>
              <w:t>sostenibili e collegamento fra questi e le conoscenze e competenze acquisite.</w:t>
            </w:r>
          </w:p>
        </w:tc>
        <w:tc>
          <w:tcPr>
            <w:tcW w:w="1067" w:type="dxa"/>
          </w:tcPr>
          <w:p w14:paraId="6FA757FE" w14:textId="241BE0B7" w:rsidR="0067189D" w:rsidRPr="00D07B0E" w:rsidRDefault="0067189D" w:rsidP="00F737D4">
            <w:pPr>
              <w:contextualSpacing/>
              <w:mirrorIndents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lastRenderedPageBreak/>
              <w:t>15 ore</w:t>
            </w:r>
          </w:p>
        </w:tc>
        <w:tc>
          <w:tcPr>
            <w:tcW w:w="0" w:type="auto"/>
          </w:tcPr>
          <w:p w14:paraId="5E290CC2" w14:textId="1745DBA2" w:rsidR="0067189D" w:rsidRPr="00D07B0E" w:rsidRDefault="0067189D" w:rsidP="00D07B0E">
            <w:pPr>
              <w:pStyle w:val="Paragrafoelenco"/>
              <w:numPr>
                <w:ilvl w:val="0"/>
                <w:numId w:val="7"/>
              </w:numPr>
              <w:mirrorIndents/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sz w:val="22"/>
                <w:szCs w:val="22"/>
              </w:rPr>
              <w:t xml:space="preserve">Presentazione corsi di Laurea presso le Università; </w:t>
            </w:r>
          </w:p>
          <w:p w14:paraId="1DD7A856" w14:textId="2B727FB3" w:rsidR="00D07B0E" w:rsidRDefault="0067189D" w:rsidP="00D07B0E">
            <w:pPr>
              <w:pStyle w:val="Paragrafoelenco"/>
              <w:numPr>
                <w:ilvl w:val="0"/>
                <w:numId w:val="7"/>
              </w:numPr>
              <w:mirrorIndents/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sz w:val="22"/>
                <w:szCs w:val="22"/>
              </w:rPr>
              <w:t>Seminari di docenti universitari</w:t>
            </w:r>
            <w:r w:rsidR="00D07B0E">
              <w:rPr>
                <w:rFonts w:cstheme="minorHAnsi"/>
                <w:sz w:val="22"/>
                <w:szCs w:val="22"/>
              </w:rPr>
              <w:t xml:space="preserve">/esperti del mondo del lavoro o delle professioni </w:t>
            </w:r>
            <w:r w:rsidRPr="00D07B0E">
              <w:rPr>
                <w:rFonts w:cstheme="minorHAnsi"/>
                <w:sz w:val="22"/>
                <w:szCs w:val="22"/>
              </w:rPr>
              <w:t>presso il nostro Liceo (progetti PTOF…);</w:t>
            </w:r>
          </w:p>
          <w:p w14:paraId="0AABDCD4" w14:textId="6040A7CE" w:rsidR="0067189D" w:rsidRPr="00D07B0E" w:rsidRDefault="0067189D" w:rsidP="00D07B0E">
            <w:pPr>
              <w:pStyle w:val="Paragrafoelenco"/>
              <w:numPr>
                <w:ilvl w:val="0"/>
                <w:numId w:val="7"/>
              </w:numPr>
              <w:mirrorIndents/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sz w:val="22"/>
                <w:szCs w:val="22"/>
              </w:rPr>
              <w:lastRenderedPageBreak/>
              <w:t xml:space="preserve">Esperienze di </w:t>
            </w:r>
            <w:proofErr w:type="spellStart"/>
            <w:r w:rsidRPr="00D07B0E">
              <w:rPr>
                <w:rFonts w:cstheme="minorHAnsi"/>
                <w:sz w:val="22"/>
                <w:szCs w:val="22"/>
              </w:rPr>
              <w:t>Tolc</w:t>
            </w:r>
            <w:proofErr w:type="spellEnd"/>
            <w:r w:rsidRPr="00D07B0E">
              <w:rPr>
                <w:rFonts w:cstheme="minorHAnsi"/>
                <w:sz w:val="22"/>
                <w:szCs w:val="22"/>
              </w:rPr>
              <w:t xml:space="preserve"> per accedere alle facoltà universitarie</w:t>
            </w:r>
            <w:r w:rsidR="00D07B0E">
              <w:rPr>
                <w:rFonts w:cstheme="minorHAnsi"/>
                <w:sz w:val="22"/>
                <w:szCs w:val="22"/>
              </w:rPr>
              <w:t>;</w:t>
            </w:r>
          </w:p>
          <w:p w14:paraId="6FEBB4C4" w14:textId="584C1FD1" w:rsidR="0067189D" w:rsidRPr="00D07B0E" w:rsidRDefault="0067189D" w:rsidP="00D07B0E">
            <w:pPr>
              <w:pStyle w:val="Paragrafoelenco"/>
              <w:numPr>
                <w:ilvl w:val="0"/>
                <w:numId w:val="7"/>
              </w:numPr>
              <w:mirrorIndents/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sz w:val="22"/>
                <w:szCs w:val="22"/>
              </w:rPr>
              <w:t>Incontri con le agenzie formative del territorio (</w:t>
            </w:r>
            <w:r w:rsidR="00D07B0E">
              <w:rPr>
                <w:rFonts w:cstheme="minorHAnsi"/>
                <w:sz w:val="22"/>
                <w:szCs w:val="22"/>
              </w:rPr>
              <w:t xml:space="preserve">enti, </w:t>
            </w:r>
            <w:r w:rsidRPr="00D07B0E">
              <w:rPr>
                <w:rFonts w:cstheme="minorHAnsi"/>
                <w:sz w:val="22"/>
                <w:szCs w:val="22"/>
              </w:rPr>
              <w:t>associazioni</w:t>
            </w:r>
            <w:r w:rsidR="00D07B0E">
              <w:rPr>
                <w:rFonts w:cstheme="minorHAnsi"/>
                <w:sz w:val="22"/>
                <w:szCs w:val="22"/>
              </w:rPr>
              <w:t>, società sportive</w:t>
            </w:r>
            <w:r w:rsidRPr="00D07B0E">
              <w:rPr>
                <w:rFonts w:cstheme="minorHAnsi"/>
                <w:sz w:val="22"/>
                <w:szCs w:val="22"/>
              </w:rPr>
              <w:t>…)</w:t>
            </w:r>
          </w:p>
          <w:p w14:paraId="01E78F9B" w14:textId="7A844CD9" w:rsidR="00E61D6E" w:rsidRPr="00D07B0E" w:rsidRDefault="00E61D6E" w:rsidP="00D07B0E">
            <w:pPr>
              <w:contextualSpacing/>
              <w:mirrorIndent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>Attività da realizzare nei mesi novembre</w:t>
            </w:r>
            <w:r w:rsidR="00D07B0E">
              <w:rPr>
                <w:rFonts w:cstheme="minorHAnsi"/>
                <w:b/>
                <w:bCs/>
                <w:sz w:val="22"/>
                <w:szCs w:val="22"/>
              </w:rPr>
              <w:t>-</w:t>
            </w:r>
            <w:r w:rsidRPr="00D07B0E">
              <w:rPr>
                <w:rFonts w:cstheme="minorHAnsi"/>
                <w:b/>
                <w:bCs/>
                <w:sz w:val="22"/>
                <w:szCs w:val="22"/>
              </w:rPr>
              <w:t>aprile</w:t>
            </w:r>
          </w:p>
        </w:tc>
      </w:tr>
      <w:tr w:rsidR="00D07B0E" w:rsidRPr="00D07B0E" w14:paraId="338A888F" w14:textId="77777777" w:rsidTr="00D07B0E">
        <w:tc>
          <w:tcPr>
            <w:tcW w:w="0" w:type="auto"/>
          </w:tcPr>
          <w:p w14:paraId="0E9ADA73" w14:textId="2CD25B09" w:rsidR="0067189D" w:rsidRPr="00D07B0E" w:rsidRDefault="0067189D" w:rsidP="00660442">
            <w:pPr>
              <w:contextualSpacing/>
              <w:mirrorIndent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lastRenderedPageBreak/>
              <w:t>Orientamento formativo</w:t>
            </w:r>
            <w:r w:rsidR="00D3343F" w:rsidRPr="00D07B0E">
              <w:rPr>
                <w:rFonts w:cstheme="minorHAnsi"/>
                <w:b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2812" w:type="dxa"/>
          </w:tcPr>
          <w:p w14:paraId="65BB3688" w14:textId="35BB118E" w:rsidR="0067189D" w:rsidRPr="00D07B0E" w:rsidRDefault="0067189D" w:rsidP="00660442">
            <w:pPr>
              <w:contextualSpacing/>
              <w:mirrorIndents/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sz w:val="22"/>
                <w:szCs w:val="22"/>
              </w:rPr>
              <w:t>Attivazione di esperienze di didattica disciplinare laboratoriale e partecipativa; Consolidamento di competenze riflessive e trasversali.</w:t>
            </w:r>
          </w:p>
        </w:tc>
        <w:tc>
          <w:tcPr>
            <w:tcW w:w="1067" w:type="dxa"/>
          </w:tcPr>
          <w:p w14:paraId="5A27E78E" w14:textId="11DECDBB" w:rsidR="0067189D" w:rsidRPr="00D07B0E" w:rsidRDefault="0067189D" w:rsidP="00F737D4">
            <w:pPr>
              <w:contextualSpacing/>
              <w:mirrorIndents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>10 ore</w:t>
            </w:r>
          </w:p>
        </w:tc>
        <w:tc>
          <w:tcPr>
            <w:tcW w:w="0" w:type="auto"/>
          </w:tcPr>
          <w:p w14:paraId="0F44CB58" w14:textId="77777777" w:rsidR="0067189D" w:rsidRDefault="0067189D" w:rsidP="00660442">
            <w:pPr>
              <w:contextualSpacing/>
              <w:mirrorIndents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sz w:val="22"/>
                <w:szCs w:val="22"/>
              </w:rPr>
              <w:t>I singoli consigli di classe svolgeranno in orario curricolare attività da distribuire tra i docenti de</w:t>
            </w:r>
            <w:r w:rsidR="00D07B0E">
              <w:rPr>
                <w:rFonts w:cstheme="minorHAnsi"/>
                <w:sz w:val="22"/>
                <w:szCs w:val="22"/>
              </w:rPr>
              <w:t xml:space="preserve">lle diverse discipline </w:t>
            </w:r>
            <w:r w:rsidRPr="00D07B0E">
              <w:rPr>
                <w:rFonts w:cstheme="minorHAnsi"/>
                <w:sz w:val="22"/>
                <w:szCs w:val="22"/>
              </w:rPr>
              <w:t xml:space="preserve">– </w:t>
            </w:r>
            <w:r w:rsidRPr="00D07B0E">
              <w:rPr>
                <w:rFonts w:cstheme="minorHAnsi"/>
                <w:b/>
                <w:bCs/>
                <w:sz w:val="22"/>
                <w:szCs w:val="22"/>
              </w:rPr>
              <w:t>7 ore nel primo periodo (semestre) e 3 ore nel secondo periodo (trimestre).</w:t>
            </w:r>
          </w:p>
          <w:p w14:paraId="47EB1EDB" w14:textId="1B51F144" w:rsidR="00D07B0E" w:rsidRPr="00D07B0E" w:rsidRDefault="00D07B0E" w:rsidP="00660442">
            <w:pPr>
              <w:contextualSpacing/>
              <w:mirrorIndents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Tali ore dal corrente </w:t>
            </w:r>
            <w:proofErr w:type="spellStart"/>
            <w:r>
              <w:rPr>
                <w:rFonts w:cstheme="minorHAnsi"/>
                <w:b/>
                <w:bCs/>
                <w:sz w:val="22"/>
                <w:szCs w:val="22"/>
              </w:rPr>
              <w:t>a.s.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</w:rPr>
              <w:t xml:space="preserve"> sono estese anche alle classi del biennio.</w:t>
            </w:r>
          </w:p>
        </w:tc>
      </w:tr>
    </w:tbl>
    <w:p w14:paraId="71518773" w14:textId="77777777" w:rsidR="006974AB" w:rsidRPr="00D07B0E" w:rsidRDefault="006974AB" w:rsidP="00660442">
      <w:pPr>
        <w:contextualSpacing/>
        <w:mirrorIndents/>
        <w:jc w:val="both"/>
        <w:rPr>
          <w:rFonts w:cstheme="minorHAnsi"/>
          <w:sz w:val="22"/>
          <w:szCs w:val="22"/>
        </w:rPr>
      </w:pPr>
    </w:p>
    <w:p w14:paraId="1F4BAAEB" w14:textId="5CB0D2CA" w:rsidR="000D08E5" w:rsidRPr="00D07B0E" w:rsidRDefault="00D3343F" w:rsidP="00E637C4">
      <w:pPr>
        <w:jc w:val="both"/>
        <w:rPr>
          <w:rFonts w:cstheme="minorHAnsi"/>
          <w:sz w:val="22"/>
          <w:szCs w:val="22"/>
        </w:rPr>
      </w:pPr>
      <w:r w:rsidRPr="00D07B0E">
        <w:rPr>
          <w:rFonts w:cstheme="minorHAnsi"/>
          <w:sz w:val="22"/>
          <w:szCs w:val="22"/>
        </w:rPr>
        <w:t>*</w:t>
      </w:r>
      <w:r w:rsidR="00B12005" w:rsidRPr="00D07B0E">
        <w:rPr>
          <w:rFonts w:cstheme="minorHAnsi"/>
          <w:sz w:val="22"/>
          <w:szCs w:val="22"/>
        </w:rPr>
        <w:t xml:space="preserve"> </w:t>
      </w:r>
      <w:r w:rsidR="00E1484A" w:rsidRPr="00D07B0E">
        <w:rPr>
          <w:rFonts w:cstheme="minorHAnsi"/>
          <w:sz w:val="22"/>
          <w:szCs w:val="22"/>
        </w:rPr>
        <w:t xml:space="preserve">I docenti dei singoli </w:t>
      </w:r>
      <w:r w:rsidR="009B1B95">
        <w:rPr>
          <w:rFonts w:cstheme="minorHAnsi"/>
          <w:sz w:val="22"/>
          <w:szCs w:val="22"/>
        </w:rPr>
        <w:t>C</w:t>
      </w:r>
      <w:r w:rsidR="00E1484A" w:rsidRPr="00D07B0E">
        <w:rPr>
          <w:rFonts w:cstheme="minorHAnsi"/>
          <w:sz w:val="22"/>
          <w:szCs w:val="22"/>
        </w:rPr>
        <w:t>onsigli di classe</w:t>
      </w:r>
      <w:r w:rsidR="009B1B95">
        <w:rPr>
          <w:rFonts w:cstheme="minorHAnsi"/>
          <w:sz w:val="22"/>
          <w:szCs w:val="22"/>
        </w:rPr>
        <w:t xml:space="preserve"> (</w:t>
      </w:r>
      <w:proofErr w:type="spellStart"/>
      <w:r w:rsidR="009B1B95">
        <w:rPr>
          <w:rFonts w:cstheme="minorHAnsi"/>
          <w:sz w:val="22"/>
          <w:szCs w:val="22"/>
        </w:rPr>
        <w:t>biennio+triennio</w:t>
      </w:r>
      <w:proofErr w:type="spellEnd"/>
      <w:r w:rsidR="009B1B95">
        <w:rPr>
          <w:rFonts w:cstheme="minorHAnsi"/>
          <w:sz w:val="22"/>
          <w:szCs w:val="22"/>
        </w:rPr>
        <w:t>)</w:t>
      </w:r>
      <w:r w:rsidR="00E1484A" w:rsidRPr="00D07B0E">
        <w:rPr>
          <w:rFonts w:cstheme="minorHAnsi"/>
          <w:sz w:val="22"/>
          <w:szCs w:val="22"/>
        </w:rPr>
        <w:t>, in relazione alle</w:t>
      </w:r>
      <w:r w:rsidRPr="00D07B0E">
        <w:rPr>
          <w:rFonts w:cstheme="minorHAnsi"/>
          <w:sz w:val="22"/>
          <w:szCs w:val="22"/>
        </w:rPr>
        <w:t xml:space="preserve"> </w:t>
      </w:r>
      <w:r w:rsidRPr="00D07B0E">
        <w:rPr>
          <w:rFonts w:cstheme="minorHAnsi"/>
          <w:b/>
          <w:bCs/>
          <w:sz w:val="22"/>
          <w:szCs w:val="22"/>
        </w:rPr>
        <w:t>10 ore di orientamento formativo</w:t>
      </w:r>
      <w:r w:rsidRPr="00D07B0E">
        <w:rPr>
          <w:rFonts w:cstheme="minorHAnsi"/>
          <w:sz w:val="22"/>
          <w:szCs w:val="22"/>
        </w:rPr>
        <w:t xml:space="preserve"> (esperienze di didattica disciplinare laboratoriale e partecipativa), </w:t>
      </w:r>
      <w:r w:rsidRPr="00D07B0E">
        <w:rPr>
          <w:rFonts w:cstheme="minorHAnsi"/>
          <w:b/>
          <w:bCs/>
          <w:sz w:val="22"/>
          <w:szCs w:val="22"/>
        </w:rPr>
        <w:t>nei 2 periodi dell’anno scolastico</w:t>
      </w:r>
      <w:r w:rsidRPr="00D07B0E">
        <w:rPr>
          <w:rFonts w:cstheme="minorHAnsi"/>
          <w:sz w:val="22"/>
          <w:szCs w:val="22"/>
        </w:rPr>
        <w:t xml:space="preserve"> (</w:t>
      </w:r>
      <w:r w:rsidRPr="00D07B0E">
        <w:rPr>
          <w:rFonts w:cstheme="minorHAnsi"/>
          <w:b/>
          <w:bCs/>
          <w:sz w:val="22"/>
          <w:szCs w:val="22"/>
        </w:rPr>
        <w:t>semestre</w:t>
      </w:r>
      <w:r w:rsidR="00FB2033" w:rsidRPr="00D07B0E">
        <w:rPr>
          <w:rFonts w:cstheme="minorHAnsi"/>
          <w:b/>
          <w:bCs/>
          <w:sz w:val="22"/>
          <w:szCs w:val="22"/>
        </w:rPr>
        <w:t>,</w:t>
      </w:r>
      <w:r w:rsidRPr="00D07B0E">
        <w:rPr>
          <w:rFonts w:cstheme="minorHAnsi"/>
          <w:b/>
          <w:bCs/>
          <w:sz w:val="22"/>
          <w:szCs w:val="22"/>
        </w:rPr>
        <w:t xml:space="preserve"> 7 ore</w:t>
      </w:r>
      <w:r w:rsidRPr="00D07B0E">
        <w:rPr>
          <w:rFonts w:cstheme="minorHAnsi"/>
          <w:sz w:val="22"/>
          <w:szCs w:val="22"/>
        </w:rPr>
        <w:t xml:space="preserve"> e </w:t>
      </w:r>
      <w:r w:rsidRPr="00D07B0E">
        <w:rPr>
          <w:rFonts w:cstheme="minorHAnsi"/>
          <w:b/>
          <w:bCs/>
          <w:sz w:val="22"/>
          <w:szCs w:val="22"/>
        </w:rPr>
        <w:t>trimestre</w:t>
      </w:r>
      <w:r w:rsidR="00FB2033" w:rsidRPr="00D07B0E">
        <w:rPr>
          <w:rFonts w:cstheme="minorHAnsi"/>
          <w:b/>
          <w:bCs/>
          <w:sz w:val="22"/>
          <w:szCs w:val="22"/>
        </w:rPr>
        <w:t>,</w:t>
      </w:r>
      <w:r w:rsidRPr="00D07B0E">
        <w:rPr>
          <w:rFonts w:cstheme="minorHAnsi"/>
          <w:b/>
          <w:bCs/>
          <w:sz w:val="22"/>
          <w:szCs w:val="22"/>
        </w:rPr>
        <w:t xml:space="preserve"> 3 ore</w:t>
      </w:r>
      <w:r w:rsidRPr="00D07B0E">
        <w:rPr>
          <w:rFonts w:cstheme="minorHAnsi"/>
          <w:sz w:val="22"/>
          <w:szCs w:val="22"/>
        </w:rPr>
        <w:t xml:space="preserve">) distribuite tra le discipline, svilupperanno le seguenti </w:t>
      </w:r>
      <w:r w:rsidRPr="00D07B0E">
        <w:rPr>
          <w:rFonts w:cstheme="minorHAnsi"/>
          <w:b/>
          <w:bCs/>
          <w:sz w:val="22"/>
          <w:szCs w:val="22"/>
        </w:rPr>
        <w:t>competenze</w:t>
      </w:r>
      <w:r w:rsidRPr="00D07B0E">
        <w:rPr>
          <w:rFonts w:cstheme="minorHAnsi"/>
          <w:sz w:val="22"/>
          <w:szCs w:val="22"/>
        </w:rPr>
        <w:t xml:space="preserve"> </w:t>
      </w:r>
      <w:r w:rsidR="00D36126" w:rsidRPr="00D07B0E">
        <w:rPr>
          <w:rFonts w:cstheme="minorHAnsi"/>
          <w:sz w:val="22"/>
          <w:szCs w:val="22"/>
        </w:rPr>
        <w:t>(</w:t>
      </w:r>
      <w:r w:rsidR="00E14007" w:rsidRPr="00D07B0E">
        <w:rPr>
          <w:rFonts w:cstheme="minorHAnsi"/>
          <w:sz w:val="22"/>
          <w:szCs w:val="22"/>
        </w:rPr>
        <w:t>C</w:t>
      </w:r>
      <w:r w:rsidRPr="00D07B0E">
        <w:rPr>
          <w:rFonts w:cstheme="minorHAnsi"/>
          <w:sz w:val="22"/>
          <w:szCs w:val="22"/>
        </w:rPr>
        <w:t xml:space="preserve">ompetenze </w:t>
      </w:r>
      <w:r w:rsidR="00BD3F05" w:rsidRPr="00D07B0E">
        <w:rPr>
          <w:rFonts w:cstheme="minorHAnsi"/>
          <w:sz w:val="22"/>
          <w:szCs w:val="22"/>
        </w:rPr>
        <w:t>c</w:t>
      </w:r>
      <w:r w:rsidR="00E14007" w:rsidRPr="00D07B0E">
        <w:rPr>
          <w:rFonts w:cstheme="minorHAnsi"/>
          <w:sz w:val="22"/>
          <w:szCs w:val="22"/>
        </w:rPr>
        <w:t>hiave europee</w:t>
      </w:r>
      <w:r w:rsidRPr="00D07B0E">
        <w:rPr>
          <w:rFonts w:cstheme="minorHAnsi"/>
          <w:sz w:val="22"/>
          <w:szCs w:val="22"/>
        </w:rPr>
        <w:t>):</w:t>
      </w:r>
    </w:p>
    <w:p w14:paraId="2F107DF2" w14:textId="77777777" w:rsidR="00BD3F05" w:rsidRPr="00D07B0E" w:rsidRDefault="00BD3F05" w:rsidP="00E637C4">
      <w:pPr>
        <w:jc w:val="both"/>
        <w:rPr>
          <w:rFonts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2"/>
        <w:gridCol w:w="8360"/>
      </w:tblGrid>
      <w:tr w:rsidR="00D36126" w:rsidRPr="00D07B0E" w14:paraId="32103DC1" w14:textId="77777777" w:rsidTr="00D36126">
        <w:tc>
          <w:tcPr>
            <w:tcW w:w="0" w:type="auto"/>
          </w:tcPr>
          <w:p w14:paraId="28D884C7" w14:textId="18A85C65" w:rsidR="00D36126" w:rsidRPr="00D07B0E" w:rsidRDefault="00D36126" w:rsidP="00E637C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 xml:space="preserve">Classi </w:t>
            </w:r>
            <w:r w:rsidR="009B1B95">
              <w:rPr>
                <w:rFonts w:cstheme="minorHAnsi"/>
                <w:b/>
                <w:bCs/>
                <w:sz w:val="22"/>
                <w:szCs w:val="22"/>
              </w:rPr>
              <w:t>prime e seconde</w:t>
            </w:r>
          </w:p>
        </w:tc>
        <w:tc>
          <w:tcPr>
            <w:tcW w:w="0" w:type="auto"/>
          </w:tcPr>
          <w:p w14:paraId="156A822A" w14:textId="617A72E5" w:rsidR="00D36126" w:rsidRPr="00D07B0E" w:rsidRDefault="00D36126" w:rsidP="00E637C4">
            <w:pPr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 xml:space="preserve">CONSAPEVOLEZZA e GESTIONE del SE’ - </w:t>
            </w:r>
            <w:r w:rsidRPr="00D07B0E">
              <w:rPr>
                <w:rFonts w:cstheme="minorHAnsi"/>
                <w:sz w:val="22"/>
                <w:szCs w:val="22"/>
              </w:rPr>
              <w:t xml:space="preserve">precisione/attenzione ai dettagli; </w:t>
            </w:r>
            <w:proofErr w:type="spellStart"/>
            <w:r w:rsidRPr="00D07B0E">
              <w:rPr>
                <w:rFonts w:cstheme="minorHAnsi"/>
                <w:sz w:val="22"/>
                <w:szCs w:val="22"/>
              </w:rPr>
              <w:t>problem</w:t>
            </w:r>
            <w:proofErr w:type="spellEnd"/>
            <w:r w:rsidRPr="00D07B0E">
              <w:rPr>
                <w:rFonts w:cstheme="minorHAnsi"/>
                <w:sz w:val="22"/>
                <w:szCs w:val="22"/>
              </w:rPr>
              <w:t xml:space="preserve"> solving individuale; gestire le informazioni; creatività; capacità di innovare; pensiero critico; capacità di giudizio; autonomia nel gestire l’apprendimento; gestione del tempo; capacità di pian</w:t>
            </w:r>
            <w:r w:rsidR="0083264B" w:rsidRPr="00D07B0E">
              <w:rPr>
                <w:rFonts w:cstheme="minorHAnsi"/>
                <w:sz w:val="22"/>
                <w:szCs w:val="22"/>
              </w:rPr>
              <w:t>i</w:t>
            </w:r>
            <w:r w:rsidRPr="00D07B0E">
              <w:rPr>
                <w:rFonts w:cstheme="minorHAnsi"/>
                <w:sz w:val="22"/>
                <w:szCs w:val="22"/>
              </w:rPr>
              <w:t>ficare ed organizzare; motivazione nel conseguire obiettivi.</w:t>
            </w:r>
          </w:p>
        </w:tc>
      </w:tr>
      <w:tr w:rsidR="00D36126" w:rsidRPr="00D07B0E" w14:paraId="6CBE34DB" w14:textId="77777777" w:rsidTr="00D36126">
        <w:tc>
          <w:tcPr>
            <w:tcW w:w="0" w:type="auto"/>
          </w:tcPr>
          <w:p w14:paraId="341DED4E" w14:textId="3BBF9A65" w:rsidR="00D36126" w:rsidRPr="00D07B0E" w:rsidRDefault="00D36126" w:rsidP="00E637C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 xml:space="preserve">Classi </w:t>
            </w:r>
            <w:r w:rsidR="009B1B95">
              <w:rPr>
                <w:rFonts w:cstheme="minorHAnsi"/>
                <w:b/>
                <w:bCs/>
                <w:sz w:val="22"/>
                <w:szCs w:val="22"/>
              </w:rPr>
              <w:t xml:space="preserve">terze e </w:t>
            </w:r>
            <w:r w:rsidRPr="00D07B0E">
              <w:rPr>
                <w:rFonts w:cstheme="minorHAnsi"/>
                <w:b/>
                <w:bCs/>
                <w:sz w:val="22"/>
                <w:szCs w:val="22"/>
              </w:rPr>
              <w:t>quarte</w:t>
            </w:r>
          </w:p>
        </w:tc>
        <w:tc>
          <w:tcPr>
            <w:tcW w:w="0" w:type="auto"/>
          </w:tcPr>
          <w:p w14:paraId="7B259B28" w14:textId="7880DDC9" w:rsidR="00D36126" w:rsidRPr="00D07B0E" w:rsidRDefault="0072288B" w:rsidP="00E637C4">
            <w:pPr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>CONSAPEVOLEZZA SOCIALE e ABILITA’ RELAZIONALI</w:t>
            </w:r>
            <w:r w:rsidR="002B5402" w:rsidRPr="00D07B0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D07B0E">
              <w:rPr>
                <w:rFonts w:cstheme="minorHAnsi"/>
                <w:sz w:val="22"/>
                <w:szCs w:val="22"/>
              </w:rPr>
              <w:t xml:space="preserve">- abilità comunicative; team work; ascoltare con comprensione ed empatia; flessibilità e adattabilità; </w:t>
            </w:r>
            <w:proofErr w:type="spellStart"/>
            <w:r w:rsidRPr="00D07B0E">
              <w:rPr>
                <w:rFonts w:cstheme="minorHAnsi"/>
                <w:sz w:val="22"/>
                <w:szCs w:val="22"/>
              </w:rPr>
              <w:t>problem</w:t>
            </w:r>
            <w:proofErr w:type="spellEnd"/>
            <w:r w:rsidRPr="00D07B0E">
              <w:rPr>
                <w:rFonts w:cstheme="minorHAnsi"/>
                <w:sz w:val="22"/>
                <w:szCs w:val="22"/>
              </w:rPr>
              <w:t xml:space="preserve"> solving collaborativo.</w:t>
            </w:r>
          </w:p>
        </w:tc>
      </w:tr>
      <w:tr w:rsidR="00D36126" w:rsidRPr="00D07B0E" w14:paraId="2BE4E6B7" w14:textId="77777777" w:rsidTr="00D36126">
        <w:tc>
          <w:tcPr>
            <w:tcW w:w="0" w:type="auto"/>
          </w:tcPr>
          <w:p w14:paraId="57FEA1FB" w14:textId="088ACEED" w:rsidR="00D36126" w:rsidRPr="00D07B0E" w:rsidRDefault="00D36126" w:rsidP="00E637C4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>Classi quinte</w:t>
            </w:r>
          </w:p>
        </w:tc>
        <w:tc>
          <w:tcPr>
            <w:tcW w:w="0" w:type="auto"/>
          </w:tcPr>
          <w:p w14:paraId="5E98EDBA" w14:textId="605CC300" w:rsidR="00D36126" w:rsidRPr="00D07B0E" w:rsidRDefault="002B5402" w:rsidP="00E637C4">
            <w:pPr>
              <w:jc w:val="both"/>
              <w:rPr>
                <w:rFonts w:cstheme="minorHAnsi"/>
                <w:sz w:val="22"/>
                <w:szCs w:val="22"/>
              </w:rPr>
            </w:pPr>
            <w:r w:rsidRPr="00D07B0E">
              <w:rPr>
                <w:rFonts w:cstheme="minorHAnsi"/>
                <w:b/>
                <w:bCs/>
                <w:sz w:val="22"/>
                <w:szCs w:val="22"/>
              </w:rPr>
              <w:t xml:space="preserve">PRENDERE DECISIONI RESPONSABILI - </w:t>
            </w:r>
            <w:r w:rsidRPr="00D07B0E">
              <w:rPr>
                <w:rFonts w:cstheme="minorHAnsi"/>
                <w:sz w:val="22"/>
                <w:szCs w:val="22"/>
              </w:rPr>
              <w:t>intraprendenza/spirito di iniziativa; leadership</w:t>
            </w:r>
          </w:p>
        </w:tc>
      </w:tr>
    </w:tbl>
    <w:p w14:paraId="68F9C92D" w14:textId="77777777" w:rsidR="00D3343F" w:rsidRPr="00D07B0E" w:rsidRDefault="00D3343F" w:rsidP="00E637C4">
      <w:pPr>
        <w:jc w:val="both"/>
        <w:rPr>
          <w:rFonts w:cstheme="minorHAnsi"/>
          <w:sz w:val="22"/>
          <w:szCs w:val="22"/>
        </w:rPr>
      </w:pPr>
    </w:p>
    <w:p w14:paraId="04209675" w14:textId="5C9E35E8" w:rsidR="0083264B" w:rsidRPr="00ED647F" w:rsidRDefault="00ED647F" w:rsidP="00E637C4">
      <w:pPr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Si prevede l’adesione ai </w:t>
      </w:r>
      <w:r w:rsidRPr="00ED647F">
        <w:rPr>
          <w:rFonts w:cstheme="minorHAnsi"/>
          <w:b/>
          <w:bCs/>
          <w:sz w:val="22"/>
          <w:szCs w:val="22"/>
        </w:rPr>
        <w:t xml:space="preserve">progetti </w:t>
      </w:r>
      <w:proofErr w:type="spellStart"/>
      <w:r w:rsidRPr="00ED647F">
        <w:rPr>
          <w:rFonts w:cstheme="minorHAnsi"/>
          <w:b/>
          <w:bCs/>
          <w:sz w:val="22"/>
          <w:szCs w:val="22"/>
        </w:rPr>
        <w:t>Orientalife</w:t>
      </w:r>
      <w:proofErr w:type="spellEnd"/>
      <w:r w:rsidRPr="00ED647F">
        <w:rPr>
          <w:rFonts w:cstheme="minorHAnsi"/>
          <w:b/>
          <w:bCs/>
          <w:sz w:val="22"/>
          <w:szCs w:val="22"/>
        </w:rPr>
        <w:t xml:space="preserve"> con USR Campania</w:t>
      </w:r>
      <w:r>
        <w:rPr>
          <w:rFonts w:cstheme="minorHAnsi"/>
          <w:sz w:val="22"/>
          <w:szCs w:val="22"/>
        </w:rPr>
        <w:t xml:space="preserve"> e alle </w:t>
      </w:r>
      <w:r w:rsidRPr="00ED647F">
        <w:rPr>
          <w:rFonts w:cstheme="minorHAnsi"/>
          <w:b/>
          <w:bCs/>
          <w:sz w:val="22"/>
          <w:szCs w:val="22"/>
        </w:rPr>
        <w:t xml:space="preserve">proposte progettuali </w:t>
      </w:r>
      <w:r w:rsidR="007E4179">
        <w:rPr>
          <w:rFonts w:cstheme="minorHAnsi"/>
          <w:b/>
          <w:bCs/>
          <w:sz w:val="22"/>
          <w:szCs w:val="22"/>
        </w:rPr>
        <w:t xml:space="preserve">PNRR </w:t>
      </w:r>
      <w:r w:rsidRPr="00ED647F">
        <w:rPr>
          <w:rFonts w:cstheme="minorHAnsi"/>
          <w:b/>
          <w:bCs/>
          <w:sz w:val="22"/>
          <w:szCs w:val="22"/>
        </w:rPr>
        <w:t>dell</w:t>
      </w:r>
      <w:r w:rsidR="007E4179">
        <w:rPr>
          <w:rFonts w:cstheme="minorHAnsi"/>
          <w:b/>
          <w:bCs/>
          <w:sz w:val="22"/>
          <w:szCs w:val="22"/>
        </w:rPr>
        <w:t xml:space="preserve">e </w:t>
      </w:r>
      <w:r w:rsidRPr="00ED647F">
        <w:rPr>
          <w:rFonts w:cstheme="minorHAnsi"/>
          <w:b/>
          <w:bCs/>
          <w:sz w:val="22"/>
          <w:szCs w:val="22"/>
        </w:rPr>
        <w:t>Università – del MIM e dell’USR</w:t>
      </w:r>
      <w:r w:rsidR="006F157C">
        <w:rPr>
          <w:rFonts w:cstheme="minorHAnsi"/>
          <w:b/>
          <w:bCs/>
          <w:sz w:val="22"/>
          <w:szCs w:val="22"/>
        </w:rPr>
        <w:t xml:space="preserve"> -</w:t>
      </w:r>
      <w:r w:rsidRPr="00ED647F">
        <w:rPr>
          <w:rFonts w:cstheme="minorHAnsi"/>
          <w:b/>
          <w:bCs/>
          <w:sz w:val="22"/>
          <w:szCs w:val="22"/>
        </w:rPr>
        <w:t>.</w:t>
      </w:r>
    </w:p>
    <w:p w14:paraId="38526934" w14:textId="77777777" w:rsidR="00ED647F" w:rsidRPr="00D07B0E" w:rsidRDefault="00ED647F" w:rsidP="00E637C4">
      <w:pPr>
        <w:jc w:val="both"/>
        <w:rPr>
          <w:rFonts w:cstheme="minorHAnsi"/>
          <w:sz w:val="22"/>
          <w:szCs w:val="22"/>
        </w:rPr>
      </w:pPr>
    </w:p>
    <w:p w14:paraId="0E724C7D" w14:textId="76BAA811" w:rsidR="00EE487E" w:rsidRPr="00D07B0E" w:rsidRDefault="00C66F72" w:rsidP="00E637C4">
      <w:pPr>
        <w:jc w:val="both"/>
        <w:rPr>
          <w:rFonts w:cstheme="minorHAnsi"/>
          <w:sz w:val="22"/>
          <w:szCs w:val="22"/>
        </w:rPr>
      </w:pPr>
      <w:r w:rsidRPr="00D07B0E">
        <w:rPr>
          <w:rFonts w:cstheme="minorHAnsi"/>
          <w:sz w:val="22"/>
          <w:szCs w:val="22"/>
        </w:rPr>
        <w:t xml:space="preserve">Durante </w:t>
      </w:r>
      <w:r w:rsidRPr="00D07B0E">
        <w:rPr>
          <w:rFonts w:cstheme="minorHAnsi"/>
          <w:b/>
          <w:bCs/>
          <w:sz w:val="22"/>
          <w:szCs w:val="22"/>
        </w:rPr>
        <w:t>la presentazione del curricolo a tutti gli studenti</w:t>
      </w:r>
      <w:r w:rsidRPr="00D07B0E">
        <w:rPr>
          <w:rFonts w:cstheme="minorHAnsi"/>
          <w:sz w:val="22"/>
          <w:szCs w:val="22"/>
        </w:rPr>
        <w:t xml:space="preserve"> delle classi terze, quarte e quinte </w:t>
      </w:r>
      <w:r w:rsidRPr="00D07B0E">
        <w:rPr>
          <w:rFonts w:cstheme="minorHAnsi"/>
          <w:b/>
          <w:bCs/>
          <w:sz w:val="22"/>
          <w:szCs w:val="22"/>
        </w:rPr>
        <w:t>verrà consegnato</w:t>
      </w:r>
      <w:r w:rsidRPr="00D07B0E">
        <w:rPr>
          <w:rFonts w:cstheme="minorHAnsi"/>
          <w:sz w:val="22"/>
          <w:szCs w:val="22"/>
        </w:rPr>
        <w:t xml:space="preserve"> </w:t>
      </w:r>
      <w:r w:rsidRPr="00D07B0E">
        <w:rPr>
          <w:rFonts w:cstheme="minorHAnsi"/>
          <w:b/>
          <w:bCs/>
          <w:sz w:val="22"/>
          <w:szCs w:val="22"/>
        </w:rPr>
        <w:t>un “portfolio</w:t>
      </w:r>
      <w:r w:rsidRPr="00D07B0E">
        <w:rPr>
          <w:rFonts w:cstheme="minorHAnsi"/>
          <w:sz w:val="22"/>
          <w:szCs w:val="22"/>
        </w:rPr>
        <w:t>”, una sorta di libretto</w:t>
      </w:r>
      <w:r w:rsidR="008C312F" w:rsidRPr="00D07B0E">
        <w:rPr>
          <w:rFonts w:cstheme="minorHAnsi"/>
          <w:sz w:val="22"/>
          <w:szCs w:val="22"/>
        </w:rPr>
        <w:t xml:space="preserve"> (appositamente predisposto per le attività del curricolo)</w:t>
      </w:r>
      <w:r w:rsidRPr="00D07B0E">
        <w:rPr>
          <w:rFonts w:cstheme="minorHAnsi"/>
          <w:sz w:val="22"/>
          <w:szCs w:val="22"/>
        </w:rPr>
        <w:t>, che gli studenti dovranno custodire con cura e sul quale dovranno annotare le attività di orientamento che svolgeranno</w:t>
      </w:r>
      <w:r w:rsidR="00EE6F5D" w:rsidRPr="00D07B0E">
        <w:rPr>
          <w:rFonts w:cstheme="minorHAnsi"/>
          <w:sz w:val="22"/>
          <w:szCs w:val="22"/>
        </w:rPr>
        <w:t xml:space="preserve"> durante l’anno.</w:t>
      </w:r>
      <w:r w:rsidR="009B1B95">
        <w:rPr>
          <w:rFonts w:cstheme="minorHAnsi"/>
          <w:sz w:val="22"/>
          <w:szCs w:val="22"/>
        </w:rPr>
        <w:t xml:space="preserve"> </w:t>
      </w:r>
      <w:r w:rsidRPr="00D07B0E">
        <w:rPr>
          <w:rFonts w:cstheme="minorHAnsi"/>
          <w:sz w:val="22"/>
          <w:szCs w:val="22"/>
        </w:rPr>
        <w:t>Tali attività dovranno essere firmate dal docente tutor</w:t>
      </w:r>
      <w:r w:rsidR="009B1B95">
        <w:rPr>
          <w:rFonts w:cstheme="minorHAnsi"/>
          <w:sz w:val="22"/>
          <w:szCs w:val="22"/>
        </w:rPr>
        <w:t>/orientatore</w:t>
      </w:r>
      <w:r w:rsidRPr="00D07B0E">
        <w:rPr>
          <w:rFonts w:cstheme="minorHAnsi"/>
          <w:sz w:val="22"/>
          <w:szCs w:val="22"/>
        </w:rPr>
        <w:t xml:space="preserve"> periodicamente.</w:t>
      </w:r>
    </w:p>
    <w:p w14:paraId="53BE3300" w14:textId="77777777" w:rsidR="00B1507D" w:rsidRPr="00D07B0E" w:rsidRDefault="00B1507D" w:rsidP="00E637C4">
      <w:pPr>
        <w:contextualSpacing/>
        <w:mirrorIndents/>
        <w:jc w:val="both"/>
        <w:rPr>
          <w:rFonts w:cstheme="minorHAnsi"/>
          <w:b/>
          <w:bCs/>
          <w:sz w:val="22"/>
          <w:szCs w:val="22"/>
        </w:rPr>
      </w:pPr>
    </w:p>
    <w:p w14:paraId="53D473AE" w14:textId="77777777" w:rsidR="00660442" w:rsidRPr="00D07B0E" w:rsidRDefault="00660442" w:rsidP="00660442">
      <w:pPr>
        <w:contextualSpacing/>
        <w:mirrorIndents/>
        <w:jc w:val="both"/>
        <w:rPr>
          <w:rFonts w:cstheme="minorHAnsi"/>
          <w:b/>
          <w:bCs/>
          <w:sz w:val="22"/>
          <w:szCs w:val="22"/>
        </w:rPr>
      </w:pPr>
    </w:p>
    <w:sectPr w:rsidR="00660442" w:rsidRPr="00D07B0E" w:rsidSect="00F808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021" w:right="1134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DC40" w14:textId="77777777" w:rsidR="004A6671" w:rsidRDefault="004A6671" w:rsidP="00197A59">
      <w:r>
        <w:separator/>
      </w:r>
    </w:p>
  </w:endnote>
  <w:endnote w:type="continuationSeparator" w:id="0">
    <w:p w14:paraId="209F3FC8" w14:textId="77777777" w:rsidR="004A6671" w:rsidRDefault="004A6671" w:rsidP="0019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yaKanadaka">
    <w:altName w:val="Tunga"/>
    <w:charset w:val="4D"/>
    <w:family w:val="auto"/>
    <w:pitch w:val="variable"/>
    <w:sig w:usb0="004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37F1" w14:textId="77777777" w:rsidR="00CC1F2D" w:rsidRDefault="00CC1F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EDEA" w14:textId="77777777" w:rsidR="00CC1F2D" w:rsidRDefault="00CC1F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2E5B" w14:textId="77777777" w:rsidR="00CC1F2D" w:rsidRDefault="00CC1F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F755" w14:textId="77777777" w:rsidR="004A6671" w:rsidRDefault="004A6671" w:rsidP="00197A59">
      <w:r>
        <w:separator/>
      </w:r>
    </w:p>
  </w:footnote>
  <w:footnote w:type="continuationSeparator" w:id="0">
    <w:p w14:paraId="11CB8AFF" w14:textId="77777777" w:rsidR="004A6671" w:rsidRDefault="004A6671" w:rsidP="00197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E47A7" w14:textId="77777777" w:rsidR="00CC1F2D" w:rsidRDefault="00CC1F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8836" w14:textId="0FF218D5" w:rsidR="00197A59" w:rsidRDefault="00CD4B2D">
    <w:pPr>
      <w:pStyle w:val="Intestazione"/>
    </w:pPr>
    <w:r>
      <w:rPr>
        <w:noProof/>
        <w:lang w:eastAsia="it-IT"/>
      </w:rPr>
      <w:drawing>
        <wp:inline distT="0" distB="0" distL="0" distR="0" wp14:anchorId="76E8D0EA" wp14:editId="6713CD9F">
          <wp:extent cx="6116319" cy="2224116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19" cy="2224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875E" w14:textId="77777777" w:rsidR="00CC1F2D" w:rsidRDefault="00CC1F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09E"/>
    <w:multiLevelType w:val="hybridMultilevel"/>
    <w:tmpl w:val="87F07296"/>
    <w:lvl w:ilvl="0" w:tplc="FAE495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160E"/>
    <w:multiLevelType w:val="hybridMultilevel"/>
    <w:tmpl w:val="33DE3B32"/>
    <w:lvl w:ilvl="0" w:tplc="F31AE54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20628"/>
    <w:multiLevelType w:val="hybridMultilevel"/>
    <w:tmpl w:val="F692ED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25B00"/>
    <w:multiLevelType w:val="hybridMultilevel"/>
    <w:tmpl w:val="2CDA2912"/>
    <w:lvl w:ilvl="0" w:tplc="344A89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53F0"/>
    <w:multiLevelType w:val="hybridMultilevel"/>
    <w:tmpl w:val="7E24A5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176E1"/>
    <w:multiLevelType w:val="hybridMultilevel"/>
    <w:tmpl w:val="2DEE67BE"/>
    <w:lvl w:ilvl="0" w:tplc="0C0C76C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152B8"/>
    <w:multiLevelType w:val="hybridMultilevel"/>
    <w:tmpl w:val="F168B1BA"/>
    <w:lvl w:ilvl="0" w:tplc="3E62B2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441974">
    <w:abstractNumId w:val="5"/>
  </w:num>
  <w:num w:numId="2" w16cid:durableId="1633362489">
    <w:abstractNumId w:val="3"/>
  </w:num>
  <w:num w:numId="3" w16cid:durableId="1973974070">
    <w:abstractNumId w:val="1"/>
  </w:num>
  <w:num w:numId="4" w16cid:durableId="1615135130">
    <w:abstractNumId w:val="6"/>
  </w:num>
  <w:num w:numId="5" w16cid:durableId="1893497149">
    <w:abstractNumId w:val="0"/>
  </w:num>
  <w:num w:numId="6" w16cid:durableId="281494847">
    <w:abstractNumId w:val="4"/>
  </w:num>
  <w:num w:numId="7" w16cid:durableId="1101605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59"/>
    <w:rsid w:val="00005530"/>
    <w:rsid w:val="00025E5C"/>
    <w:rsid w:val="000D08E5"/>
    <w:rsid w:val="00132DD0"/>
    <w:rsid w:val="00182095"/>
    <w:rsid w:val="001821ED"/>
    <w:rsid w:val="00197A59"/>
    <w:rsid w:val="001B137E"/>
    <w:rsid w:val="00206139"/>
    <w:rsid w:val="00210163"/>
    <w:rsid w:val="00292DB5"/>
    <w:rsid w:val="002975BB"/>
    <w:rsid w:val="002B5402"/>
    <w:rsid w:val="002C3565"/>
    <w:rsid w:val="002D66A7"/>
    <w:rsid w:val="003168EF"/>
    <w:rsid w:val="00321C9D"/>
    <w:rsid w:val="003A2B49"/>
    <w:rsid w:val="003E023C"/>
    <w:rsid w:val="003F44E2"/>
    <w:rsid w:val="0044189A"/>
    <w:rsid w:val="0044559C"/>
    <w:rsid w:val="00485F76"/>
    <w:rsid w:val="00497941"/>
    <w:rsid w:val="004A6671"/>
    <w:rsid w:val="00506690"/>
    <w:rsid w:val="00520D4F"/>
    <w:rsid w:val="00553CC1"/>
    <w:rsid w:val="00613FD1"/>
    <w:rsid w:val="00625424"/>
    <w:rsid w:val="0065191C"/>
    <w:rsid w:val="00660442"/>
    <w:rsid w:val="0067189D"/>
    <w:rsid w:val="006974AB"/>
    <w:rsid w:val="006E06AF"/>
    <w:rsid w:val="006F157C"/>
    <w:rsid w:val="0072288B"/>
    <w:rsid w:val="00723FDC"/>
    <w:rsid w:val="007C3D38"/>
    <w:rsid w:val="007E2648"/>
    <w:rsid w:val="007E4179"/>
    <w:rsid w:val="007F0F16"/>
    <w:rsid w:val="007F7738"/>
    <w:rsid w:val="008177A8"/>
    <w:rsid w:val="0083264B"/>
    <w:rsid w:val="00846123"/>
    <w:rsid w:val="0087306C"/>
    <w:rsid w:val="008C312F"/>
    <w:rsid w:val="008C6D8F"/>
    <w:rsid w:val="008D188B"/>
    <w:rsid w:val="008F1FDE"/>
    <w:rsid w:val="009074D1"/>
    <w:rsid w:val="009179D6"/>
    <w:rsid w:val="00920476"/>
    <w:rsid w:val="0094239F"/>
    <w:rsid w:val="009B1B95"/>
    <w:rsid w:val="009C042D"/>
    <w:rsid w:val="00A01772"/>
    <w:rsid w:val="00A22C56"/>
    <w:rsid w:val="00A43BC0"/>
    <w:rsid w:val="00B0514D"/>
    <w:rsid w:val="00B12005"/>
    <w:rsid w:val="00B1507D"/>
    <w:rsid w:val="00B56D22"/>
    <w:rsid w:val="00BD3F05"/>
    <w:rsid w:val="00BF2FCD"/>
    <w:rsid w:val="00C12A46"/>
    <w:rsid w:val="00C4417B"/>
    <w:rsid w:val="00C66F72"/>
    <w:rsid w:val="00C67555"/>
    <w:rsid w:val="00CC1F2D"/>
    <w:rsid w:val="00CC494C"/>
    <w:rsid w:val="00CD4B2D"/>
    <w:rsid w:val="00D07B0E"/>
    <w:rsid w:val="00D27603"/>
    <w:rsid w:val="00D3343F"/>
    <w:rsid w:val="00D36126"/>
    <w:rsid w:val="00D50A5E"/>
    <w:rsid w:val="00D67808"/>
    <w:rsid w:val="00DB7B59"/>
    <w:rsid w:val="00DE3BA7"/>
    <w:rsid w:val="00DF36FB"/>
    <w:rsid w:val="00E14007"/>
    <w:rsid w:val="00E1484A"/>
    <w:rsid w:val="00E404E4"/>
    <w:rsid w:val="00E516C3"/>
    <w:rsid w:val="00E61D6E"/>
    <w:rsid w:val="00E637C4"/>
    <w:rsid w:val="00E8104A"/>
    <w:rsid w:val="00EA3271"/>
    <w:rsid w:val="00ED647F"/>
    <w:rsid w:val="00EE487E"/>
    <w:rsid w:val="00EE6F5D"/>
    <w:rsid w:val="00F30781"/>
    <w:rsid w:val="00F32AEC"/>
    <w:rsid w:val="00F737D4"/>
    <w:rsid w:val="00F77B49"/>
    <w:rsid w:val="00F808A0"/>
    <w:rsid w:val="00FA3A2E"/>
    <w:rsid w:val="00FB2033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7D4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A59"/>
  </w:style>
  <w:style w:type="paragraph" w:styleId="Pidipagina">
    <w:name w:val="footer"/>
    <w:basedOn w:val="Normale"/>
    <w:link w:val="PidipaginaCarattere"/>
    <w:uiPriority w:val="99"/>
    <w:unhideWhenUsed/>
    <w:rsid w:val="00197A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A59"/>
  </w:style>
  <w:style w:type="table" w:styleId="Grigliatabella">
    <w:name w:val="Table Grid"/>
    <w:basedOn w:val="Tabellanormale"/>
    <w:uiPriority w:val="39"/>
    <w:rsid w:val="0072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7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Graziella Ruocco</cp:lastModifiedBy>
  <cp:revision>2</cp:revision>
  <cp:lastPrinted>2023-10-20T06:59:00Z</cp:lastPrinted>
  <dcterms:created xsi:type="dcterms:W3CDTF">2023-10-23T19:52:00Z</dcterms:created>
  <dcterms:modified xsi:type="dcterms:W3CDTF">2023-10-23T19:52:00Z</dcterms:modified>
</cp:coreProperties>
</file>